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DE4" w:rsidRPr="004E3DE4" w:rsidRDefault="004E3DE4" w:rsidP="004E3DE4">
      <w:pPr>
        <w:jc w:val="center"/>
        <w:rPr>
          <w:b/>
          <w:sz w:val="28"/>
        </w:rPr>
      </w:pPr>
      <w:r w:rsidRPr="004E3DE4">
        <w:rPr>
          <w:rFonts w:hint="eastAsia"/>
          <w:b/>
          <w:sz w:val="28"/>
        </w:rPr>
        <w:t>关于实施省级预算单位公务卡强制结算目录的通知</w:t>
      </w:r>
    </w:p>
    <w:p w:rsidR="004E3DE4" w:rsidRPr="00BD0083" w:rsidRDefault="004E3DE4" w:rsidP="004E3DE4">
      <w:pPr>
        <w:jc w:val="center"/>
        <w:rPr>
          <w:rFonts w:asciiTheme="majorEastAsia" w:eastAsiaTheme="majorEastAsia" w:hAnsiTheme="majorEastAsia"/>
          <w:sz w:val="24"/>
        </w:rPr>
      </w:pPr>
      <w:r w:rsidRPr="00BD0083">
        <w:rPr>
          <w:rFonts w:asciiTheme="majorEastAsia" w:eastAsiaTheme="majorEastAsia" w:hAnsiTheme="majorEastAsia" w:hint="eastAsia"/>
          <w:sz w:val="24"/>
        </w:rPr>
        <w:t>财库〔2012〕303号</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省直各部门、单位，国库集中支付各代理银行：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为加强和规范省级预算单位公务支出管理，进一步推进公务卡制度改革，扩大公务卡使用范围，切实减少公务支出中的现金提取和使用，根据财政部和我省《关于印发省级预算单位公务卡使用管理暂行办法的通知》（财库〔2007〕1217号）等有关规定，决定在省级预算单位实施公务卡强制结算目录。现就有关事项通知如下： </w:t>
      </w:r>
    </w:p>
    <w:p w:rsidR="004E3DE4" w:rsidRPr="00BD0083" w:rsidRDefault="004E3DE4" w:rsidP="000747B3">
      <w:pPr>
        <w:rPr>
          <w:rFonts w:ascii="仿宋_GB2312" w:eastAsia="仿宋_GB2312"/>
          <w:b/>
          <w:sz w:val="24"/>
          <w:szCs w:val="24"/>
        </w:rPr>
      </w:pPr>
      <w:r w:rsidRPr="00BD0083">
        <w:rPr>
          <w:rFonts w:ascii="仿宋_GB2312" w:eastAsia="仿宋_GB2312" w:hint="eastAsia"/>
          <w:b/>
          <w:sz w:val="24"/>
          <w:szCs w:val="24"/>
        </w:rPr>
        <w:t xml:space="preserve">    一、充分认识实施公务卡强制结算目录的必要性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省级公务卡制度改革自2007年试点以来，对于加强政府自身建设，降低行政管理成本，减少单位现金使用量，提高公务结算效率和公务支出透明度，完善公务支付手段，深化财政管理改革，加强财政管理，全面提升预算单位财务管理水平具有十分重要意义。因此，各部门各单位要从党风廉政建设和源头预防腐败的高度，切实提高对实施公务卡强制结算目录必要性和重要性的认识，加强对推行公务卡制度的领导，切实做好公务卡强制结算目录的贯彻落实工作。 </w:t>
      </w:r>
    </w:p>
    <w:p w:rsidR="004E3DE4" w:rsidRPr="00BD0083" w:rsidRDefault="004E3DE4" w:rsidP="000747B3">
      <w:pPr>
        <w:rPr>
          <w:rFonts w:ascii="仿宋_GB2312" w:eastAsia="仿宋_GB2312"/>
          <w:b/>
          <w:sz w:val="24"/>
          <w:szCs w:val="24"/>
        </w:rPr>
      </w:pPr>
      <w:r w:rsidRPr="00BD0083">
        <w:rPr>
          <w:rFonts w:ascii="仿宋_GB2312" w:eastAsia="仿宋_GB2312" w:hint="eastAsia"/>
          <w:b/>
          <w:sz w:val="24"/>
          <w:szCs w:val="24"/>
        </w:rPr>
        <w:t xml:space="preserve">    二、严格执行公务卡强制结算目录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（一）所有实行公务卡制度改革的省级预算单位，都应严格执行省级预算单位公务卡强制结算目录。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（二）凡目录规定的公务支出项目，应按规定使用公务卡结算，原则上不再使用现金结算。原使用转账方式结算的，可继续使用转账方式。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（三）下列情况可暂不使用公务卡结算：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1.在县级以下（不包括县级）地区发生的公务支出；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2.在县级及县级以上地区不具备刷卡条件的场所发生的单笔消费在200元以下的公务支出；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3.按规定支付给个人的支出；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4.签证费、快递费、过桥过路费、出租车费用等目前只能使用现金结算的支出。 </w:t>
      </w:r>
    </w:p>
    <w:p w:rsidR="004E3DE4" w:rsidRPr="000747B3" w:rsidRDefault="004E3DE4" w:rsidP="00BD0083">
      <w:pPr>
        <w:ind w:firstLineChars="200" w:firstLine="480"/>
        <w:rPr>
          <w:rFonts w:ascii="仿宋_GB2312" w:eastAsia="仿宋_GB2312"/>
          <w:sz w:val="24"/>
          <w:szCs w:val="24"/>
        </w:rPr>
      </w:pPr>
      <w:r w:rsidRPr="000747B3">
        <w:rPr>
          <w:rFonts w:ascii="仿宋_GB2312" w:eastAsia="仿宋_GB2312" w:hint="eastAsia"/>
          <w:sz w:val="24"/>
          <w:szCs w:val="24"/>
        </w:rPr>
        <w:t>除上述情况外，因特殊情形确实不能使用公务卡结算的，应报经单位财务部门批准。</w:t>
      </w:r>
    </w:p>
    <w:p w:rsidR="004E3DE4" w:rsidRPr="00BD0083" w:rsidRDefault="004E3DE4" w:rsidP="000747B3">
      <w:pPr>
        <w:rPr>
          <w:rFonts w:ascii="仿宋_GB2312" w:eastAsia="仿宋_GB2312"/>
          <w:b/>
          <w:sz w:val="24"/>
          <w:szCs w:val="24"/>
        </w:rPr>
      </w:pPr>
      <w:r w:rsidRPr="00BD0083">
        <w:rPr>
          <w:rFonts w:ascii="仿宋_GB2312" w:eastAsia="仿宋_GB2312" w:hint="eastAsia"/>
          <w:b/>
          <w:sz w:val="24"/>
          <w:szCs w:val="24"/>
        </w:rPr>
        <w:t xml:space="preserve">    三、有关工作要求</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一）制定具体细则。各部门、各单位应尽快制定本部门实施公务卡强制结算目录的管理办法，加强对所属预算单位的指导，重点明确不能使用公务卡结算情况下的财务审批程序和报销手续。各部门各单位应从严控制不使用公务卡结算的支出事项，必要时报销申请人应提供不能使用公务卡结算的证明材料。</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（二）加强培训宣传。各部门各单位要加强公务卡管理政策培训，使单位财务人员和工作人员熟练掌握公务卡强制结算目录。同时要加强宣传，在本部门本单位形成良好的主动用卡、自觉</w:t>
      </w:r>
      <w:bookmarkStart w:id="0" w:name="_GoBack"/>
      <w:bookmarkEnd w:id="0"/>
      <w:r w:rsidRPr="000747B3">
        <w:rPr>
          <w:rFonts w:ascii="仿宋_GB2312" w:eastAsia="仿宋_GB2312" w:hint="eastAsia"/>
          <w:sz w:val="24"/>
          <w:szCs w:val="24"/>
        </w:rPr>
        <w:t>用卡氛围。</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三）加强监督检查。各部门各单位要在推行公务卡制度改革的同时，同步实施公务卡强制结算目录，省财政厅将配合有关监督检查部门，对预算单位公务卡强制结算制度实施情况进行专项检查，对不执行公务卡强制结算目录以及违规提现等问题，将按有关法律法规予以处理。    </w:t>
      </w:r>
    </w:p>
    <w:p w:rsidR="004E3DE4" w:rsidRPr="000747B3" w:rsidRDefault="004E3DE4" w:rsidP="000747B3">
      <w:pPr>
        <w:rPr>
          <w:rFonts w:ascii="仿宋_GB2312" w:eastAsia="仿宋_GB2312"/>
          <w:sz w:val="24"/>
          <w:szCs w:val="24"/>
        </w:rPr>
      </w:pPr>
      <w:r w:rsidRPr="000747B3">
        <w:rPr>
          <w:rFonts w:ascii="仿宋_GB2312" w:eastAsia="仿宋_GB2312" w:hint="eastAsia"/>
          <w:sz w:val="24"/>
          <w:szCs w:val="24"/>
        </w:rPr>
        <w:t xml:space="preserve">    本通知自印发之日起实施。                                                                                 </w:t>
      </w:r>
    </w:p>
    <w:p w:rsidR="004E3DE4" w:rsidRPr="000747B3" w:rsidRDefault="004E3DE4" w:rsidP="000747B3">
      <w:pPr>
        <w:rPr>
          <w:rFonts w:ascii="仿宋_GB2312" w:eastAsia="仿宋_GB2312"/>
          <w:sz w:val="24"/>
          <w:szCs w:val="24"/>
        </w:rPr>
      </w:pPr>
      <w:r w:rsidRPr="00BD0083">
        <w:rPr>
          <w:rFonts w:ascii="仿宋_GB2312" w:eastAsia="仿宋_GB2312" w:hint="eastAsia"/>
          <w:b/>
          <w:sz w:val="24"/>
          <w:szCs w:val="24"/>
        </w:rPr>
        <w:t>附件：</w:t>
      </w:r>
      <w:r w:rsidRPr="000747B3">
        <w:rPr>
          <w:rFonts w:ascii="仿宋_GB2312" w:eastAsia="仿宋_GB2312" w:hint="eastAsia"/>
          <w:sz w:val="24"/>
          <w:szCs w:val="24"/>
        </w:rPr>
        <w:t>省级预算单位公务卡强制结算目录</w:t>
      </w:r>
    </w:p>
    <w:p w:rsidR="004E3DE4" w:rsidRPr="000747B3" w:rsidRDefault="004E3DE4" w:rsidP="000747B3">
      <w:pPr>
        <w:ind w:right="420"/>
        <w:jc w:val="right"/>
        <w:rPr>
          <w:rFonts w:ascii="仿宋_GB2312" w:eastAsia="仿宋_GB2312"/>
          <w:sz w:val="24"/>
          <w:szCs w:val="24"/>
        </w:rPr>
      </w:pPr>
      <w:r w:rsidRPr="000747B3">
        <w:rPr>
          <w:rFonts w:ascii="仿宋_GB2312" w:eastAsia="仿宋_GB2312" w:hint="eastAsia"/>
          <w:sz w:val="24"/>
          <w:szCs w:val="24"/>
        </w:rPr>
        <w:t>安徽省财政厅</w:t>
      </w:r>
    </w:p>
    <w:p w:rsidR="00B76FE5" w:rsidRPr="000747B3" w:rsidRDefault="004E3DE4" w:rsidP="000747B3">
      <w:pPr>
        <w:jc w:val="right"/>
        <w:rPr>
          <w:rFonts w:ascii="仿宋_GB2312" w:eastAsia="仿宋_GB2312"/>
          <w:sz w:val="24"/>
          <w:szCs w:val="24"/>
        </w:rPr>
      </w:pPr>
      <w:r w:rsidRPr="000747B3">
        <w:rPr>
          <w:rFonts w:ascii="仿宋_GB2312" w:eastAsia="仿宋_GB2312" w:hint="eastAsia"/>
          <w:sz w:val="24"/>
          <w:szCs w:val="24"/>
        </w:rPr>
        <w:t>二Ｏ一二年三月十二日</w:t>
      </w:r>
    </w:p>
    <w:tbl>
      <w:tblPr>
        <w:tblW w:w="9371" w:type="dxa"/>
        <w:tblInd w:w="93" w:type="dxa"/>
        <w:tblLook w:val="04A0" w:firstRow="1" w:lastRow="0" w:firstColumn="1" w:lastColumn="0" w:noHBand="0" w:noVBand="1"/>
      </w:tblPr>
      <w:tblGrid>
        <w:gridCol w:w="660"/>
        <w:gridCol w:w="620"/>
        <w:gridCol w:w="660"/>
        <w:gridCol w:w="1619"/>
        <w:gridCol w:w="5812"/>
      </w:tblGrid>
      <w:tr w:rsidR="004E3DE4" w:rsidRPr="004E3DE4" w:rsidTr="004E3DE4">
        <w:trPr>
          <w:trHeight w:val="525"/>
        </w:trPr>
        <w:tc>
          <w:tcPr>
            <w:tcW w:w="9371" w:type="dxa"/>
            <w:gridSpan w:val="5"/>
            <w:tcBorders>
              <w:top w:val="nil"/>
              <w:left w:val="nil"/>
              <w:bottom w:val="nil"/>
              <w:right w:val="nil"/>
            </w:tcBorders>
            <w:shd w:val="clear" w:color="auto" w:fill="auto"/>
            <w:noWrap/>
            <w:vAlign w:val="center"/>
            <w:hideMark/>
          </w:tcPr>
          <w:p w:rsidR="004E3DE4" w:rsidRPr="004E3DE4" w:rsidRDefault="004E3DE4" w:rsidP="004E3DE4">
            <w:pPr>
              <w:widowControl/>
              <w:jc w:val="center"/>
              <w:rPr>
                <w:rFonts w:ascii="黑体" w:eastAsia="黑体" w:hAnsi="宋体" w:cs="宋体"/>
                <w:kern w:val="0"/>
                <w:sz w:val="28"/>
                <w:szCs w:val="32"/>
              </w:rPr>
            </w:pPr>
            <w:r w:rsidRPr="004E3DE4">
              <w:rPr>
                <w:rFonts w:ascii="黑体" w:eastAsia="黑体" w:hAnsi="宋体" w:cs="宋体" w:hint="eastAsia"/>
                <w:kern w:val="0"/>
                <w:sz w:val="28"/>
                <w:szCs w:val="32"/>
              </w:rPr>
              <w:lastRenderedPageBreak/>
              <w:t>省级预算单位公务卡强制结算目录</w:t>
            </w:r>
          </w:p>
        </w:tc>
      </w:tr>
      <w:tr w:rsidR="004E3DE4" w:rsidRPr="004E3DE4" w:rsidTr="004E3DE4">
        <w:trPr>
          <w:trHeight w:val="690"/>
        </w:trPr>
        <w:tc>
          <w:tcPr>
            <w:tcW w:w="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序号</w:t>
            </w:r>
          </w:p>
        </w:tc>
        <w:tc>
          <w:tcPr>
            <w:tcW w:w="1280" w:type="dxa"/>
            <w:gridSpan w:val="2"/>
            <w:tcBorders>
              <w:top w:val="single" w:sz="4" w:space="0" w:color="auto"/>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政府收支</w:t>
            </w:r>
            <w:r w:rsidRPr="004E3DE4">
              <w:rPr>
                <w:rFonts w:ascii="宋体" w:eastAsia="宋体" w:hAnsi="宋体" w:cs="宋体" w:hint="eastAsia"/>
                <w:kern w:val="0"/>
                <w:szCs w:val="24"/>
              </w:rPr>
              <w:br/>
              <w:t>科目编码</w:t>
            </w:r>
          </w:p>
        </w:tc>
        <w:tc>
          <w:tcPr>
            <w:tcW w:w="16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公务卡结算项目</w:t>
            </w:r>
          </w:p>
        </w:tc>
        <w:tc>
          <w:tcPr>
            <w:tcW w:w="58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备注</w:t>
            </w:r>
          </w:p>
        </w:tc>
      </w:tr>
      <w:tr w:rsidR="004E3DE4" w:rsidRPr="004E3DE4" w:rsidTr="004E3DE4">
        <w:trPr>
          <w:trHeight w:val="465"/>
        </w:trPr>
        <w:tc>
          <w:tcPr>
            <w:tcW w:w="660" w:type="dxa"/>
            <w:vMerge/>
            <w:tcBorders>
              <w:top w:val="single" w:sz="4" w:space="0" w:color="auto"/>
              <w:left w:val="single" w:sz="4" w:space="0" w:color="auto"/>
              <w:bottom w:val="single" w:sz="4" w:space="0" w:color="000000"/>
              <w:right w:val="single" w:sz="4" w:space="0" w:color="auto"/>
            </w:tcBorders>
            <w:vAlign w:val="center"/>
            <w:hideMark/>
          </w:tcPr>
          <w:p w:rsidR="004E3DE4" w:rsidRPr="004E3DE4" w:rsidRDefault="004E3DE4" w:rsidP="004E3DE4">
            <w:pPr>
              <w:widowControl/>
              <w:jc w:val="left"/>
              <w:rPr>
                <w:rFonts w:ascii="宋体" w:eastAsia="宋体" w:hAnsi="宋体" w:cs="宋体"/>
                <w:kern w:val="0"/>
                <w:szCs w:val="24"/>
              </w:rPr>
            </w:pP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类</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款</w:t>
            </w:r>
          </w:p>
        </w:tc>
        <w:tc>
          <w:tcPr>
            <w:tcW w:w="1619" w:type="dxa"/>
            <w:vMerge/>
            <w:tcBorders>
              <w:top w:val="single" w:sz="4" w:space="0" w:color="auto"/>
              <w:left w:val="single" w:sz="4" w:space="0" w:color="auto"/>
              <w:bottom w:val="single" w:sz="4" w:space="0" w:color="000000"/>
              <w:right w:val="single" w:sz="4" w:space="0" w:color="auto"/>
            </w:tcBorders>
            <w:vAlign w:val="center"/>
            <w:hideMark/>
          </w:tcPr>
          <w:p w:rsidR="004E3DE4" w:rsidRPr="004E3DE4" w:rsidRDefault="004E3DE4" w:rsidP="004E3DE4">
            <w:pPr>
              <w:widowControl/>
              <w:jc w:val="left"/>
              <w:rPr>
                <w:rFonts w:ascii="宋体" w:eastAsia="宋体" w:hAnsi="宋体" w:cs="宋体"/>
                <w:kern w:val="0"/>
                <w:szCs w:val="24"/>
              </w:rPr>
            </w:pPr>
          </w:p>
        </w:tc>
        <w:tc>
          <w:tcPr>
            <w:tcW w:w="5812" w:type="dxa"/>
            <w:vMerge/>
            <w:tcBorders>
              <w:top w:val="single" w:sz="4" w:space="0" w:color="auto"/>
              <w:left w:val="single" w:sz="4" w:space="0" w:color="auto"/>
              <w:bottom w:val="single" w:sz="4" w:space="0" w:color="000000"/>
              <w:right w:val="single" w:sz="4" w:space="0" w:color="auto"/>
            </w:tcBorders>
            <w:vAlign w:val="center"/>
            <w:hideMark/>
          </w:tcPr>
          <w:p w:rsidR="004E3DE4" w:rsidRPr="004E3DE4" w:rsidRDefault="004E3DE4" w:rsidP="004E3DE4">
            <w:pPr>
              <w:widowControl/>
              <w:jc w:val="left"/>
              <w:rPr>
                <w:rFonts w:ascii="宋体" w:eastAsia="宋体" w:hAnsi="宋体" w:cs="宋体"/>
                <w:kern w:val="0"/>
                <w:szCs w:val="24"/>
              </w:rPr>
            </w:pPr>
          </w:p>
        </w:tc>
      </w:tr>
      <w:tr w:rsidR="004E3DE4" w:rsidRPr="004E3DE4" w:rsidTr="004E3DE4">
        <w:trPr>
          <w:trHeight w:val="72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01</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办公费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指单位购买按财务会计制度规定不符合固定资产确认标准的日常办公用品、书报杂志等支出。</w:t>
            </w:r>
          </w:p>
        </w:tc>
      </w:tr>
      <w:tr w:rsidR="004E3DE4" w:rsidRPr="004E3DE4" w:rsidTr="004E3DE4">
        <w:trPr>
          <w:trHeight w:val="49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2</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02</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印刷费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指单位的印刷费支出。</w:t>
            </w:r>
          </w:p>
        </w:tc>
      </w:tr>
      <w:tr w:rsidR="004E3DE4" w:rsidRPr="004E3DE4" w:rsidTr="004E3DE4">
        <w:trPr>
          <w:trHeight w:val="49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03</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咨询费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指单位咨询方面的支出。</w:t>
            </w:r>
          </w:p>
        </w:tc>
      </w:tr>
      <w:tr w:rsidR="004E3DE4" w:rsidRPr="004E3DE4" w:rsidTr="004E3DE4">
        <w:trPr>
          <w:trHeight w:val="49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4</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04</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手续费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指单位支付的手续费支出。</w:t>
            </w:r>
          </w:p>
        </w:tc>
      </w:tr>
      <w:tr w:rsidR="004E3DE4" w:rsidRPr="004E3DE4" w:rsidTr="004E3DE4">
        <w:trPr>
          <w:trHeight w:val="49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5</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05</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水费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指单位支付的水费支出。</w:t>
            </w:r>
          </w:p>
        </w:tc>
      </w:tr>
      <w:tr w:rsidR="004E3DE4" w:rsidRPr="004E3DE4" w:rsidTr="004E3DE4">
        <w:trPr>
          <w:trHeight w:val="49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6</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06</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电费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指单位支付的电费支出。</w:t>
            </w:r>
          </w:p>
        </w:tc>
      </w:tr>
      <w:tr w:rsidR="004E3DE4" w:rsidRPr="004E3DE4" w:rsidTr="004E3DE4">
        <w:trPr>
          <w:trHeight w:val="60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7</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07</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邮电费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指单位开支的电话费、电报费、传真费、网络通讯费等支出。</w:t>
            </w:r>
          </w:p>
        </w:tc>
      </w:tr>
      <w:tr w:rsidR="004E3DE4" w:rsidRPr="004E3DE4" w:rsidTr="004E3DE4">
        <w:trPr>
          <w:trHeight w:val="91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8</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09</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物业管理费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指单位开支的办公用房、职工及离退休人员宿舍等的物业管理费，包括综合治理、绿化、卫生等方面的支出。</w:t>
            </w:r>
          </w:p>
        </w:tc>
      </w:tr>
      <w:tr w:rsidR="004E3DE4" w:rsidRPr="004E3DE4" w:rsidTr="004E3DE4">
        <w:trPr>
          <w:trHeight w:val="60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9</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11</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差旅费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指单位工作人员因出差支付的住宿费、购买机票支出等。</w:t>
            </w:r>
          </w:p>
        </w:tc>
      </w:tr>
      <w:tr w:rsidR="004E3DE4" w:rsidRPr="004E3DE4" w:rsidTr="004E3DE4">
        <w:trPr>
          <w:trHeight w:val="94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10</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13</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维修（护）费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指单位日常开支的固定资产（不包括车船等交通工具）修理和维护费用，网络信息系统运行与维护费用。</w:t>
            </w:r>
          </w:p>
        </w:tc>
      </w:tr>
      <w:tr w:rsidR="004E3DE4" w:rsidRPr="004E3DE4" w:rsidTr="004E3DE4">
        <w:trPr>
          <w:trHeight w:val="60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11</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14</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租赁费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指租赁办公用房、宿舍、专用通讯网以及其他设备等方面的费用。</w:t>
            </w:r>
          </w:p>
        </w:tc>
      </w:tr>
      <w:tr w:rsidR="004E3DE4" w:rsidRPr="004E3DE4" w:rsidTr="004E3DE4">
        <w:trPr>
          <w:trHeight w:val="60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12</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15</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会议费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proofErr w:type="gramStart"/>
            <w:r w:rsidRPr="004E3DE4">
              <w:rPr>
                <w:rFonts w:ascii="宋体" w:eastAsia="宋体" w:hAnsi="宋体" w:cs="宋体" w:hint="eastAsia"/>
                <w:kern w:val="0"/>
                <w:szCs w:val="24"/>
              </w:rPr>
              <w:t>指会议</w:t>
            </w:r>
            <w:proofErr w:type="gramEnd"/>
            <w:r w:rsidRPr="004E3DE4">
              <w:rPr>
                <w:rFonts w:ascii="宋体" w:eastAsia="宋体" w:hAnsi="宋体" w:cs="宋体" w:hint="eastAsia"/>
                <w:kern w:val="0"/>
                <w:szCs w:val="24"/>
              </w:rPr>
              <w:t>中按规定开支的房租费、伙食补助费以及文件资料的印刷费、</w:t>
            </w:r>
            <w:proofErr w:type="gramStart"/>
            <w:r w:rsidRPr="004E3DE4">
              <w:rPr>
                <w:rFonts w:ascii="宋体" w:eastAsia="宋体" w:hAnsi="宋体" w:cs="宋体" w:hint="eastAsia"/>
                <w:kern w:val="0"/>
                <w:szCs w:val="24"/>
              </w:rPr>
              <w:t>会议场</w:t>
            </w:r>
            <w:proofErr w:type="gramEnd"/>
            <w:r w:rsidRPr="004E3DE4">
              <w:rPr>
                <w:rFonts w:ascii="宋体" w:eastAsia="宋体" w:hAnsi="宋体" w:cs="宋体" w:hint="eastAsia"/>
                <w:kern w:val="0"/>
                <w:szCs w:val="24"/>
              </w:rPr>
              <w:t>地租用费等。</w:t>
            </w:r>
          </w:p>
        </w:tc>
      </w:tr>
      <w:tr w:rsidR="004E3DE4" w:rsidRPr="004E3DE4" w:rsidTr="004E3DE4">
        <w:trPr>
          <w:trHeight w:val="60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13</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16</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培训费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指各类培训支出。</w:t>
            </w:r>
          </w:p>
        </w:tc>
      </w:tr>
      <w:tr w:rsidR="004E3DE4" w:rsidRPr="004E3DE4" w:rsidTr="004E3DE4">
        <w:trPr>
          <w:trHeight w:val="60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14</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17</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公务接待费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指单位按规定开支的各类公务接待（含外宾接待）费用。</w:t>
            </w:r>
          </w:p>
        </w:tc>
      </w:tr>
      <w:tr w:rsidR="004E3DE4" w:rsidRPr="004E3DE4" w:rsidTr="004E3DE4">
        <w:trPr>
          <w:trHeight w:val="144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15</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18</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专用材料费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购买日常专用材料的支出。具体包括药品及医疗耗材，农用材料，兽医用品，实验室用品，专用服装，消耗性体育用品，专用工具和仪器，艺术部门专用材料和用品，广播电视台发射台发射机的电力、材料等方面的支出。</w:t>
            </w:r>
          </w:p>
        </w:tc>
      </w:tr>
      <w:tr w:rsidR="004E3DE4" w:rsidRPr="004E3DE4" w:rsidTr="004E3DE4">
        <w:trPr>
          <w:trHeight w:val="57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16</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31</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公务用车运行</w:t>
            </w:r>
            <w:r w:rsidRPr="004E3DE4">
              <w:rPr>
                <w:rFonts w:ascii="宋体" w:eastAsia="宋体" w:hAnsi="宋体" w:cs="宋体" w:hint="eastAsia"/>
                <w:kern w:val="0"/>
                <w:szCs w:val="24"/>
              </w:rPr>
              <w:br/>
              <w:t>维护费</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指公务用车的燃料费、维修费、保险费等支出。</w:t>
            </w:r>
          </w:p>
        </w:tc>
      </w:tr>
      <w:tr w:rsidR="004E3DE4" w:rsidRPr="004E3DE4" w:rsidTr="004E3DE4">
        <w:trPr>
          <w:trHeight w:val="85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17</w:t>
            </w:r>
          </w:p>
        </w:tc>
        <w:tc>
          <w:tcPr>
            <w:tcW w:w="62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302</w:t>
            </w:r>
          </w:p>
        </w:tc>
        <w:tc>
          <w:tcPr>
            <w:tcW w:w="660"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39</w:t>
            </w:r>
          </w:p>
        </w:tc>
        <w:tc>
          <w:tcPr>
            <w:tcW w:w="1619"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jc w:val="center"/>
              <w:rPr>
                <w:rFonts w:ascii="宋体" w:eastAsia="宋体" w:hAnsi="宋体" w:cs="宋体"/>
                <w:kern w:val="0"/>
                <w:szCs w:val="24"/>
              </w:rPr>
            </w:pPr>
            <w:r w:rsidRPr="004E3DE4">
              <w:rPr>
                <w:rFonts w:ascii="宋体" w:eastAsia="宋体" w:hAnsi="宋体" w:cs="宋体" w:hint="eastAsia"/>
                <w:kern w:val="0"/>
                <w:szCs w:val="24"/>
              </w:rPr>
              <w:t>其他交通费用</w:t>
            </w:r>
          </w:p>
        </w:tc>
        <w:tc>
          <w:tcPr>
            <w:tcW w:w="5812" w:type="dxa"/>
            <w:tcBorders>
              <w:top w:val="nil"/>
              <w:left w:val="nil"/>
              <w:bottom w:val="single" w:sz="4" w:space="0" w:color="auto"/>
              <w:right w:val="single" w:sz="4" w:space="0" w:color="auto"/>
            </w:tcBorders>
            <w:shd w:val="clear" w:color="auto" w:fill="auto"/>
            <w:vAlign w:val="center"/>
            <w:hideMark/>
          </w:tcPr>
          <w:p w:rsidR="004E3DE4" w:rsidRPr="004E3DE4" w:rsidRDefault="004E3DE4" w:rsidP="004E3DE4">
            <w:pPr>
              <w:widowControl/>
              <w:rPr>
                <w:rFonts w:ascii="宋体" w:eastAsia="宋体" w:hAnsi="宋体" w:cs="宋体"/>
                <w:kern w:val="0"/>
                <w:szCs w:val="24"/>
              </w:rPr>
            </w:pPr>
            <w:r w:rsidRPr="004E3DE4">
              <w:rPr>
                <w:rFonts w:ascii="宋体" w:eastAsia="宋体" w:hAnsi="宋体" w:cs="宋体" w:hint="eastAsia"/>
                <w:kern w:val="0"/>
                <w:szCs w:val="24"/>
              </w:rPr>
              <w:t>指单位除公务用车运行维护费以外的其他交通费用。如飞机、船舶等的燃料费、维修费、保险费等。</w:t>
            </w:r>
          </w:p>
        </w:tc>
      </w:tr>
    </w:tbl>
    <w:p w:rsidR="004E3DE4" w:rsidRPr="004E3DE4" w:rsidRDefault="004E3DE4" w:rsidP="004E3DE4">
      <w:pPr>
        <w:jc w:val="left"/>
      </w:pPr>
    </w:p>
    <w:sectPr w:rsidR="004E3DE4" w:rsidRPr="004E3DE4" w:rsidSect="00BD0083">
      <w:pgSz w:w="11906" w:h="16838"/>
      <w:pgMar w:top="1440" w:right="1701"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C8E" w:rsidRDefault="00B70C8E" w:rsidP="000747B3">
      <w:r>
        <w:separator/>
      </w:r>
    </w:p>
  </w:endnote>
  <w:endnote w:type="continuationSeparator" w:id="0">
    <w:p w:rsidR="00B70C8E" w:rsidRDefault="00B70C8E" w:rsidP="00074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C8E" w:rsidRDefault="00B70C8E" w:rsidP="000747B3">
      <w:r>
        <w:separator/>
      </w:r>
    </w:p>
  </w:footnote>
  <w:footnote w:type="continuationSeparator" w:id="0">
    <w:p w:rsidR="00B70C8E" w:rsidRDefault="00B70C8E" w:rsidP="000747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447"/>
    <w:rsid w:val="000747B3"/>
    <w:rsid w:val="004E3DE4"/>
    <w:rsid w:val="00B70C8E"/>
    <w:rsid w:val="00B76FE5"/>
    <w:rsid w:val="00BD0083"/>
    <w:rsid w:val="00E20AEF"/>
    <w:rsid w:val="00E33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747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747B3"/>
    <w:rPr>
      <w:sz w:val="18"/>
      <w:szCs w:val="18"/>
    </w:rPr>
  </w:style>
  <w:style w:type="paragraph" w:styleId="a4">
    <w:name w:val="footer"/>
    <w:basedOn w:val="a"/>
    <w:link w:val="Char0"/>
    <w:uiPriority w:val="99"/>
    <w:unhideWhenUsed/>
    <w:rsid w:val="000747B3"/>
    <w:pPr>
      <w:tabs>
        <w:tab w:val="center" w:pos="4153"/>
        <w:tab w:val="right" w:pos="8306"/>
      </w:tabs>
      <w:snapToGrid w:val="0"/>
      <w:jc w:val="left"/>
    </w:pPr>
    <w:rPr>
      <w:sz w:val="18"/>
      <w:szCs w:val="18"/>
    </w:rPr>
  </w:style>
  <w:style w:type="character" w:customStyle="1" w:styleId="Char0">
    <w:name w:val="页脚 Char"/>
    <w:basedOn w:val="a0"/>
    <w:link w:val="a4"/>
    <w:uiPriority w:val="99"/>
    <w:rsid w:val="000747B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747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747B3"/>
    <w:rPr>
      <w:sz w:val="18"/>
      <w:szCs w:val="18"/>
    </w:rPr>
  </w:style>
  <w:style w:type="paragraph" w:styleId="a4">
    <w:name w:val="footer"/>
    <w:basedOn w:val="a"/>
    <w:link w:val="Char0"/>
    <w:uiPriority w:val="99"/>
    <w:unhideWhenUsed/>
    <w:rsid w:val="000747B3"/>
    <w:pPr>
      <w:tabs>
        <w:tab w:val="center" w:pos="4153"/>
        <w:tab w:val="right" w:pos="8306"/>
      </w:tabs>
      <w:snapToGrid w:val="0"/>
      <w:jc w:val="left"/>
    </w:pPr>
    <w:rPr>
      <w:sz w:val="18"/>
      <w:szCs w:val="18"/>
    </w:rPr>
  </w:style>
  <w:style w:type="character" w:customStyle="1" w:styleId="Char0">
    <w:name w:val="页脚 Char"/>
    <w:basedOn w:val="a0"/>
    <w:link w:val="a4"/>
    <w:uiPriority w:val="99"/>
    <w:rsid w:val="000747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67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318</Words>
  <Characters>1817</Characters>
  <Application>Microsoft Office Word</Application>
  <DocSecurity>0</DocSecurity>
  <Lines>15</Lines>
  <Paragraphs>4</Paragraphs>
  <ScaleCrop>false</ScaleCrop>
  <Company>CHINA</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财务处</cp:lastModifiedBy>
  <cp:revision>4</cp:revision>
  <dcterms:created xsi:type="dcterms:W3CDTF">2014-08-31T00:47:00Z</dcterms:created>
  <dcterms:modified xsi:type="dcterms:W3CDTF">2014-09-04T08:53:00Z</dcterms:modified>
</cp:coreProperties>
</file>